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99" w:rsidRPr="002D6999" w:rsidRDefault="002D6999" w:rsidP="002D6999">
      <w:pPr>
        <w:jc w:val="center"/>
        <w:rPr>
          <w:b/>
          <w:sz w:val="32"/>
          <w:szCs w:val="32"/>
        </w:rPr>
      </w:pPr>
      <w:r w:rsidRPr="002D6999">
        <w:rPr>
          <w:b/>
          <w:sz w:val="32"/>
          <w:szCs w:val="32"/>
        </w:rPr>
        <w:t>Coordinated EPR Form</w:t>
      </w:r>
    </w:p>
    <w:p w:rsidR="002D6999" w:rsidRPr="002D6999" w:rsidRDefault="002D6999" w:rsidP="002D6999">
      <w:pPr>
        <w:rPr>
          <w:b/>
          <w:sz w:val="20"/>
          <w:szCs w:val="20"/>
        </w:rPr>
      </w:pPr>
      <w:r w:rsidRPr="002D6999">
        <w:rPr>
          <w:b/>
          <w:sz w:val="20"/>
          <w:szCs w:val="20"/>
        </w:rPr>
        <w:t>NOTE: This form should be completed if you are due for an EPR and you wish to coordinate your specialized accreditation with your EPR.</w:t>
      </w:r>
    </w:p>
    <w:p w:rsidR="002D6999" w:rsidRPr="00415551" w:rsidRDefault="002D6999" w:rsidP="002D6999">
      <w:pPr>
        <w:spacing w:after="0" w:line="240" w:lineRule="auto"/>
        <w:rPr>
          <w:u w:val="single"/>
        </w:rPr>
      </w:pPr>
      <w:r w:rsidRPr="000515DC">
        <w:t>Please indicate which option you prefer</w:t>
      </w:r>
      <w:r>
        <w:t xml:space="preserve"> </w:t>
      </w:r>
      <w:r w:rsidRPr="000515DC">
        <w:t xml:space="preserve">and submit this form to </w:t>
      </w:r>
      <w:r>
        <w:t>the Office of Institutional Effectiveness and Accreditation (IEA)</w:t>
      </w:r>
      <w:r w:rsidRPr="000515DC">
        <w:t xml:space="preserve">.   If you would like to discuss these options, please contact </w:t>
      </w:r>
      <w:r>
        <w:t xml:space="preserve">Sara Mahuron at </w:t>
      </w:r>
      <w:hyperlink r:id="rId7" w:history="1">
        <w:r w:rsidRPr="00EE0EFD">
          <w:rPr>
            <w:rStyle w:val="Hyperlink"/>
          </w:rPr>
          <w:t>sara@uidaho.edu</w:t>
        </w:r>
      </w:hyperlink>
      <w:r>
        <w:t xml:space="preserve"> </w:t>
      </w:r>
      <w:r w:rsidRPr="000515DC">
        <w:t xml:space="preserve">or </w:t>
      </w:r>
      <w:r>
        <w:t xml:space="preserve">Dale Pietrzak at </w:t>
      </w:r>
      <w:hyperlink r:id="rId8" w:history="1">
        <w:r w:rsidRPr="00C135D6">
          <w:rPr>
            <w:rStyle w:val="Hyperlink"/>
          </w:rPr>
          <w:t>dalepietrzak@uidaho.edu</w:t>
        </w:r>
      </w:hyperlink>
      <w:r w:rsidRPr="000515DC">
        <w:t>.</w:t>
      </w:r>
    </w:p>
    <w:p w:rsidR="002D6999" w:rsidRPr="000515DC" w:rsidRDefault="002D6999" w:rsidP="002D6999">
      <w:pPr>
        <w:spacing w:after="0" w:line="240" w:lineRule="auto"/>
      </w:pPr>
    </w:p>
    <w:p w:rsidR="002D6999" w:rsidRPr="00D947D8" w:rsidRDefault="002D6999" w:rsidP="002D6999">
      <w:pPr>
        <w:spacing w:after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Department: ______________________________________________________________________________</w:t>
      </w:r>
    </w:p>
    <w:p w:rsidR="002D6999" w:rsidRPr="00D947D8" w:rsidRDefault="002D6999" w:rsidP="002D6999">
      <w:pPr>
        <w:ind w:left="360"/>
      </w:pPr>
      <w:r w:rsidRPr="00D947D8">
        <w:rPr>
          <w:rFonts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47D8">
        <w:rPr>
          <w:rFonts w:cs="Times New Roman"/>
        </w:rPr>
        <w:instrText xml:space="preserve"> FORMCHECKBOX </w:instrText>
      </w:r>
      <w:r w:rsidR="001304DE">
        <w:rPr>
          <w:rFonts w:cs="Times New Roman"/>
        </w:rPr>
      </w:r>
      <w:r w:rsidR="001304DE">
        <w:rPr>
          <w:rFonts w:cs="Times New Roman"/>
        </w:rPr>
        <w:fldChar w:fldCharType="separate"/>
      </w:r>
      <w:r w:rsidRPr="00D947D8">
        <w:rPr>
          <w:rFonts w:cs="Times New Roman"/>
        </w:rPr>
        <w:fldChar w:fldCharType="end"/>
      </w:r>
      <w:r w:rsidRPr="00D947D8">
        <w:rPr>
          <w:rFonts w:cs="Times New Roman"/>
        </w:rPr>
        <w:t xml:space="preserve">  We would like to coordinate our EPR </w:t>
      </w:r>
      <w:r w:rsidRPr="00D947D8">
        <w:t xml:space="preserve">in </w:t>
      </w:r>
      <w:r w:rsidRPr="00D947D8">
        <w:rPr>
          <w:u w:val="single"/>
        </w:rPr>
        <w:t>preparation</w:t>
      </w:r>
      <w:r w:rsidRPr="00D947D8">
        <w:t xml:space="preserve"> for a specialized national accreditation</w:t>
      </w:r>
      <w:r>
        <w:t xml:space="preserve"> (typically one or two years in advance of the accreditation timeline).</w:t>
      </w:r>
      <w:r w:rsidRPr="00D947D8">
        <w:t xml:space="preserve"> </w:t>
      </w:r>
      <w:r>
        <w:rPr>
          <w:rFonts w:cs="Times New Roman"/>
        </w:rPr>
        <w:t>On the attached form w</w:t>
      </w:r>
      <w:r w:rsidRPr="00D947D8">
        <w:rPr>
          <w:rFonts w:cs="Times New Roman"/>
        </w:rPr>
        <w:t xml:space="preserve">e </w:t>
      </w:r>
      <w:r>
        <w:rPr>
          <w:rFonts w:cs="Times New Roman"/>
        </w:rPr>
        <w:t>have specified the areas in our accreditation guidelines which address UI’s External Program Review requirements.</w:t>
      </w:r>
      <w:r>
        <w:t xml:space="preserve"> </w:t>
      </w:r>
    </w:p>
    <w:p w:rsidR="002D6999" w:rsidRPr="00D947D8" w:rsidRDefault="002D6999" w:rsidP="002D6999">
      <w:pPr>
        <w:ind w:left="360"/>
      </w:pPr>
      <w:r w:rsidRPr="00D947D8">
        <w:rPr>
          <w:rFonts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47D8">
        <w:rPr>
          <w:rFonts w:cs="Times New Roman"/>
        </w:rPr>
        <w:instrText xml:space="preserve"> FORMCHECKBOX </w:instrText>
      </w:r>
      <w:r w:rsidR="001304DE">
        <w:rPr>
          <w:rFonts w:cs="Times New Roman"/>
        </w:rPr>
      </w:r>
      <w:r w:rsidR="001304DE">
        <w:rPr>
          <w:rFonts w:cs="Times New Roman"/>
        </w:rPr>
        <w:fldChar w:fldCharType="separate"/>
      </w:r>
      <w:r w:rsidRPr="00D947D8">
        <w:rPr>
          <w:rFonts w:cs="Times New Roman"/>
        </w:rPr>
        <w:fldChar w:fldCharType="end"/>
      </w:r>
      <w:r w:rsidRPr="00D947D8">
        <w:rPr>
          <w:rFonts w:cs="Times New Roman"/>
        </w:rPr>
        <w:t xml:space="preserve">  We would like to coordinate our EPR </w:t>
      </w:r>
      <w:r w:rsidRPr="00D947D8">
        <w:rPr>
          <w:u w:val="single"/>
        </w:rPr>
        <w:t>jointly</w:t>
      </w:r>
      <w:r w:rsidRPr="00D947D8">
        <w:t xml:space="preserve"> with a specialized national accreditation</w:t>
      </w:r>
      <w:r>
        <w:t xml:space="preserve"> and host a simultaneous visit.   </w:t>
      </w:r>
      <w:r w:rsidRPr="00D947D8">
        <w:t xml:space="preserve"> </w:t>
      </w:r>
      <w:r>
        <w:rPr>
          <w:rFonts w:cs="Times New Roman"/>
        </w:rPr>
        <w:t>On the attached form w</w:t>
      </w:r>
      <w:r w:rsidRPr="00D947D8">
        <w:rPr>
          <w:rFonts w:cs="Times New Roman"/>
        </w:rPr>
        <w:t xml:space="preserve">e </w:t>
      </w:r>
      <w:r>
        <w:rPr>
          <w:rFonts w:cs="Times New Roman"/>
        </w:rPr>
        <w:t>have specified the areas in our accreditation guidelines which address UI’s External Program Review requirements.</w:t>
      </w:r>
    </w:p>
    <w:p w:rsidR="002D6999" w:rsidRDefault="002D6999" w:rsidP="002D6999">
      <w:pPr>
        <w:ind w:left="360"/>
        <w:rPr>
          <w:rFonts w:cs="Times New Roman"/>
        </w:rPr>
      </w:pPr>
      <w:r w:rsidRPr="00D947D8">
        <w:rPr>
          <w:rFonts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947D8">
        <w:rPr>
          <w:rFonts w:cs="Times New Roman"/>
        </w:rPr>
        <w:instrText xml:space="preserve"> FORMCHECKBOX </w:instrText>
      </w:r>
      <w:r w:rsidR="001304DE">
        <w:rPr>
          <w:rFonts w:cs="Times New Roman"/>
        </w:rPr>
      </w:r>
      <w:r w:rsidR="001304DE">
        <w:rPr>
          <w:rFonts w:cs="Times New Roman"/>
        </w:rPr>
        <w:fldChar w:fldCharType="separate"/>
      </w:r>
      <w:r w:rsidRPr="00D947D8">
        <w:rPr>
          <w:rFonts w:cs="Times New Roman"/>
        </w:rPr>
        <w:fldChar w:fldCharType="end"/>
      </w:r>
      <w:r w:rsidRPr="00D947D8">
        <w:rPr>
          <w:rFonts w:cs="Times New Roman"/>
        </w:rPr>
        <w:t xml:space="preserve">  We would like to coordinate our EPR </w:t>
      </w:r>
      <w:r w:rsidRPr="00D947D8">
        <w:t xml:space="preserve">as a </w:t>
      </w:r>
      <w:r w:rsidRPr="00D947D8">
        <w:rPr>
          <w:u w:val="single"/>
        </w:rPr>
        <w:t>follow-up</w:t>
      </w:r>
      <w:r w:rsidRPr="00D947D8">
        <w:t xml:space="preserve"> to</w:t>
      </w:r>
      <w:r w:rsidRPr="00D947D8">
        <w:rPr>
          <w:rFonts w:cs="Times New Roman"/>
        </w:rPr>
        <w:t xml:space="preserve"> our specialized </w:t>
      </w:r>
      <w:r w:rsidRPr="00D947D8">
        <w:t xml:space="preserve">national </w:t>
      </w:r>
      <w:r w:rsidRPr="00D947D8">
        <w:rPr>
          <w:rFonts w:cs="Times New Roman"/>
        </w:rPr>
        <w:t xml:space="preserve">accreditation process </w:t>
      </w:r>
      <w:r w:rsidRPr="00D947D8">
        <w:t>and have parts of the EPR waived</w:t>
      </w:r>
      <w:r>
        <w:t xml:space="preserve"> (typically within two years of the accreditation site visit)</w:t>
      </w:r>
      <w:r w:rsidRPr="00D947D8">
        <w:t xml:space="preserve">.  </w:t>
      </w:r>
      <w:r>
        <w:rPr>
          <w:rFonts w:cs="Times New Roman"/>
        </w:rPr>
        <w:t>On the attached form w</w:t>
      </w:r>
      <w:r w:rsidRPr="00D947D8">
        <w:rPr>
          <w:rFonts w:cs="Times New Roman"/>
        </w:rPr>
        <w:t xml:space="preserve">e </w:t>
      </w:r>
      <w:r>
        <w:rPr>
          <w:rFonts w:cs="Times New Roman"/>
        </w:rPr>
        <w:t>have specified the areas in our accreditation guidelines which address UI’s External Program Review requirements.  Areas not included in the accreditation will be addressed in a separate Self-Study.</w:t>
      </w:r>
    </w:p>
    <w:p w:rsidR="001304DE" w:rsidRDefault="001304DE" w:rsidP="001304DE">
      <w:pPr>
        <w:rPr>
          <w:sz w:val="16"/>
          <w:szCs w:val="16"/>
        </w:rPr>
      </w:pPr>
      <w:r>
        <w:t>Please provide the following information:</w:t>
      </w:r>
    </w:p>
    <w:tbl>
      <w:tblPr>
        <w:tblStyle w:val="TableGrid"/>
        <w:tblW w:w="110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510"/>
        <w:gridCol w:w="7560"/>
      </w:tblGrid>
      <w:tr w:rsidR="001304DE" w:rsidRPr="00D90DF4" w:rsidTr="001304DE">
        <w:trPr>
          <w:trHeight w:val="705"/>
        </w:trPr>
        <w:tc>
          <w:tcPr>
            <w:tcW w:w="3510" w:type="dxa"/>
            <w:vAlign w:val="center"/>
          </w:tcPr>
          <w:p w:rsidR="001304DE" w:rsidRPr="001304DE" w:rsidRDefault="001304DE" w:rsidP="001304DE">
            <w:pPr>
              <w:spacing w:before="100" w:after="100" w:line="240" w:lineRule="auto"/>
              <w:jc w:val="left"/>
            </w:pPr>
            <w:r w:rsidRPr="001304DE">
              <w:t>Your name</w:t>
            </w:r>
            <w:r w:rsidRPr="001304DE">
              <w:t xml:space="preserve"> </w:t>
            </w:r>
            <w:r w:rsidRPr="001304DE">
              <w:t>and position</w:t>
            </w:r>
          </w:p>
        </w:tc>
        <w:tc>
          <w:tcPr>
            <w:tcW w:w="7560" w:type="dxa"/>
            <w:vAlign w:val="center"/>
          </w:tcPr>
          <w:p w:rsidR="001304DE" w:rsidRPr="00D90DF4" w:rsidRDefault="001304DE" w:rsidP="008A4B9C">
            <w:pPr>
              <w:rPr>
                <w:sz w:val="16"/>
                <w:szCs w:val="16"/>
              </w:rPr>
            </w:pPr>
          </w:p>
        </w:tc>
      </w:tr>
      <w:tr w:rsidR="001304DE" w:rsidRPr="00D90DF4" w:rsidTr="001304DE">
        <w:trPr>
          <w:trHeight w:val="705"/>
        </w:trPr>
        <w:tc>
          <w:tcPr>
            <w:tcW w:w="3510" w:type="dxa"/>
            <w:vAlign w:val="center"/>
          </w:tcPr>
          <w:p w:rsidR="001304DE" w:rsidRPr="001304DE" w:rsidRDefault="001304DE" w:rsidP="008A4B9C">
            <w:pPr>
              <w:spacing w:before="100" w:after="100"/>
              <w:jc w:val="left"/>
            </w:pPr>
            <w:r w:rsidRPr="001304DE">
              <w:t>Please indicate the accreditation cycle dates</w:t>
            </w:r>
            <w:r>
              <w:t>.</w:t>
            </w:r>
            <w:bookmarkStart w:id="0" w:name="_GoBack"/>
            <w:bookmarkEnd w:id="0"/>
          </w:p>
        </w:tc>
        <w:tc>
          <w:tcPr>
            <w:tcW w:w="7560" w:type="dxa"/>
            <w:vAlign w:val="center"/>
          </w:tcPr>
          <w:p w:rsidR="001304DE" w:rsidRPr="00D90DF4" w:rsidRDefault="001304DE" w:rsidP="008A4B9C">
            <w:pPr>
              <w:rPr>
                <w:sz w:val="16"/>
                <w:szCs w:val="16"/>
              </w:rPr>
            </w:pPr>
          </w:p>
        </w:tc>
      </w:tr>
      <w:tr w:rsidR="001304DE" w:rsidRPr="00D90DF4" w:rsidTr="001304DE">
        <w:trPr>
          <w:trHeight w:val="705"/>
        </w:trPr>
        <w:tc>
          <w:tcPr>
            <w:tcW w:w="3510" w:type="dxa"/>
            <w:vAlign w:val="center"/>
          </w:tcPr>
          <w:p w:rsidR="001304DE" w:rsidRPr="001304DE" w:rsidRDefault="001304DE" w:rsidP="001304DE">
            <w:pPr>
              <w:spacing w:before="100" w:after="100"/>
              <w:jc w:val="left"/>
            </w:pPr>
            <w:r w:rsidRPr="001304DE">
              <w:t xml:space="preserve">Which program(s) </w:t>
            </w:r>
            <w:r w:rsidRPr="001304DE">
              <w:t>were reviewed by the outside accreditor</w:t>
            </w:r>
            <w:r w:rsidRPr="001304DE">
              <w:t>?</w:t>
            </w:r>
          </w:p>
        </w:tc>
        <w:tc>
          <w:tcPr>
            <w:tcW w:w="7560" w:type="dxa"/>
            <w:vAlign w:val="center"/>
          </w:tcPr>
          <w:p w:rsidR="001304DE" w:rsidRPr="00D90DF4" w:rsidRDefault="001304DE" w:rsidP="008A4B9C">
            <w:pPr>
              <w:rPr>
                <w:sz w:val="16"/>
                <w:szCs w:val="16"/>
              </w:rPr>
            </w:pPr>
          </w:p>
        </w:tc>
      </w:tr>
      <w:tr w:rsidR="001304DE" w:rsidRPr="00D90DF4" w:rsidTr="001304DE">
        <w:trPr>
          <w:trHeight w:val="706"/>
        </w:trPr>
        <w:tc>
          <w:tcPr>
            <w:tcW w:w="3510" w:type="dxa"/>
            <w:vAlign w:val="center"/>
          </w:tcPr>
          <w:p w:rsidR="001304DE" w:rsidRPr="001304DE" w:rsidRDefault="001304DE" w:rsidP="001304DE">
            <w:pPr>
              <w:spacing w:before="100" w:after="100"/>
              <w:jc w:val="left"/>
            </w:pPr>
            <w:r w:rsidRPr="001304DE">
              <w:t>Did the review include</w:t>
            </w:r>
            <w:r w:rsidRPr="001304DE">
              <w:t xml:space="preserve"> UG/GRAD </w:t>
            </w:r>
            <w:r w:rsidRPr="001304DE">
              <w:t xml:space="preserve">programs, </w:t>
            </w:r>
            <w:r w:rsidRPr="001304DE">
              <w:t>(or both)</w:t>
            </w:r>
            <w:r w:rsidRPr="001304DE">
              <w:t>?</w:t>
            </w:r>
          </w:p>
        </w:tc>
        <w:tc>
          <w:tcPr>
            <w:tcW w:w="7560" w:type="dxa"/>
            <w:vAlign w:val="center"/>
          </w:tcPr>
          <w:p w:rsidR="001304DE" w:rsidRPr="00D90DF4" w:rsidRDefault="001304DE" w:rsidP="008A4B9C">
            <w:pPr>
              <w:rPr>
                <w:sz w:val="16"/>
                <w:szCs w:val="16"/>
              </w:rPr>
            </w:pPr>
          </w:p>
        </w:tc>
      </w:tr>
    </w:tbl>
    <w:p w:rsidR="002D6999" w:rsidRDefault="002D6999" w:rsidP="002D6999">
      <w:pPr>
        <w:spacing w:before="240" w:after="0" w:line="240" w:lineRule="auto"/>
      </w:pPr>
    </w:p>
    <w:p w:rsidR="001304DE" w:rsidRDefault="001304DE" w:rsidP="002D6999">
      <w:pPr>
        <w:spacing w:before="240" w:after="0" w:line="240" w:lineRule="auto"/>
      </w:pPr>
    </w:p>
    <w:p w:rsidR="002D6999" w:rsidRPr="00D947D8" w:rsidRDefault="002D6999" w:rsidP="002D69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_____________________________________________________</w:t>
      </w:r>
    </w:p>
    <w:p w:rsidR="002D6999" w:rsidRDefault="002D6999" w:rsidP="002D6999">
      <w:pPr>
        <w:rPr>
          <w:rFonts w:ascii="Times New Roman" w:hAnsi="Times New Roman" w:cs="Times New Roman"/>
        </w:rPr>
      </w:pPr>
      <w:r w:rsidRPr="00D947D8">
        <w:rPr>
          <w:rFonts w:ascii="Times New Roman" w:hAnsi="Times New Roman" w:cs="Times New Roman"/>
        </w:rPr>
        <w:t xml:space="preserve"> </w:t>
      </w:r>
      <w:r w:rsidRPr="00D947D8">
        <w:rPr>
          <w:rFonts w:ascii="Times New Roman" w:hAnsi="Times New Roman" w:cs="Times New Roman"/>
        </w:rPr>
        <w:tab/>
      </w:r>
      <w:r w:rsidRPr="00D947D8">
        <w:rPr>
          <w:rFonts w:ascii="Times New Roman" w:hAnsi="Times New Roman" w:cs="Times New Roman"/>
        </w:rPr>
        <w:tab/>
      </w:r>
      <w:r w:rsidRPr="00D947D8">
        <w:rPr>
          <w:rFonts w:ascii="Times New Roman" w:hAnsi="Times New Roman" w:cs="Times New Roman"/>
        </w:rPr>
        <w:tab/>
      </w:r>
      <w:r w:rsidRPr="00D947D8">
        <w:rPr>
          <w:rFonts w:ascii="Times New Roman" w:hAnsi="Times New Roman" w:cs="Times New Roman"/>
        </w:rPr>
        <w:tab/>
      </w:r>
      <w:r w:rsidRPr="00D947D8">
        <w:rPr>
          <w:rFonts w:ascii="Times New Roman" w:hAnsi="Times New Roman" w:cs="Times New Roman"/>
        </w:rPr>
        <w:tab/>
      </w:r>
      <w:r w:rsidRPr="00D947D8">
        <w:rPr>
          <w:rFonts w:ascii="Times New Roman" w:hAnsi="Times New Roman" w:cs="Times New Roman"/>
        </w:rPr>
        <w:tab/>
        <w:t>Department Chair</w:t>
      </w:r>
      <w:r>
        <w:rPr>
          <w:rFonts w:ascii="Times New Roman" w:hAnsi="Times New Roman" w:cs="Times New Roman"/>
        </w:rPr>
        <w:t>/Program Head</w:t>
      </w:r>
      <w:r w:rsidRPr="00D947D8">
        <w:rPr>
          <w:rFonts w:ascii="Times New Roman" w:hAnsi="Times New Roman" w:cs="Times New Roman"/>
        </w:rPr>
        <w:tab/>
        <w:t>Date</w:t>
      </w:r>
    </w:p>
    <w:p w:rsidR="001304DE" w:rsidRDefault="001304DE" w:rsidP="002D6999">
      <w:pPr>
        <w:rPr>
          <w:rFonts w:ascii="Times New Roman" w:hAnsi="Times New Roman" w:cs="Times New Roman"/>
        </w:rPr>
      </w:pPr>
    </w:p>
    <w:p w:rsidR="002D6999" w:rsidRPr="00D947D8" w:rsidRDefault="002D6999" w:rsidP="002D69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_____________________________________________________</w:t>
      </w:r>
    </w:p>
    <w:p w:rsidR="002D6999" w:rsidRPr="00D947D8" w:rsidRDefault="002D6999" w:rsidP="002D6999">
      <w:pPr>
        <w:rPr>
          <w:rFonts w:ascii="Times New Roman" w:hAnsi="Times New Roman" w:cs="Times New Roman"/>
        </w:rPr>
      </w:pPr>
      <w:r w:rsidRPr="00D947D8">
        <w:rPr>
          <w:rFonts w:ascii="Times New Roman" w:hAnsi="Times New Roman" w:cs="Times New Roman"/>
        </w:rPr>
        <w:t xml:space="preserve"> </w:t>
      </w:r>
      <w:r w:rsidRPr="00D947D8">
        <w:rPr>
          <w:rFonts w:ascii="Times New Roman" w:hAnsi="Times New Roman" w:cs="Times New Roman"/>
        </w:rPr>
        <w:tab/>
      </w:r>
      <w:r w:rsidRPr="00D947D8">
        <w:rPr>
          <w:rFonts w:ascii="Times New Roman" w:hAnsi="Times New Roman" w:cs="Times New Roman"/>
        </w:rPr>
        <w:tab/>
      </w:r>
      <w:r w:rsidRPr="00D947D8">
        <w:rPr>
          <w:rFonts w:ascii="Times New Roman" w:hAnsi="Times New Roman" w:cs="Times New Roman"/>
        </w:rPr>
        <w:tab/>
      </w:r>
      <w:r w:rsidRPr="00D947D8">
        <w:rPr>
          <w:rFonts w:ascii="Times New Roman" w:hAnsi="Times New Roman" w:cs="Times New Roman"/>
        </w:rPr>
        <w:tab/>
      </w:r>
      <w:r w:rsidRPr="00D947D8">
        <w:rPr>
          <w:rFonts w:ascii="Times New Roman" w:hAnsi="Times New Roman" w:cs="Times New Roman"/>
        </w:rPr>
        <w:tab/>
      </w:r>
      <w:r w:rsidRPr="00D947D8">
        <w:rPr>
          <w:rFonts w:ascii="Times New Roman" w:hAnsi="Times New Roman" w:cs="Times New Roman"/>
        </w:rPr>
        <w:tab/>
        <w:t>Dean</w:t>
      </w:r>
      <w:r>
        <w:rPr>
          <w:rFonts w:ascii="Times New Roman" w:hAnsi="Times New Roman" w:cs="Times New Roman"/>
        </w:rPr>
        <w:t>/Dean of Record</w:t>
      </w:r>
      <w:r>
        <w:rPr>
          <w:rFonts w:ascii="Times New Roman" w:hAnsi="Times New Roman" w:cs="Times New Roman"/>
        </w:rPr>
        <w:tab/>
      </w:r>
      <w:r w:rsidRPr="00D947D8">
        <w:rPr>
          <w:rFonts w:ascii="Times New Roman" w:hAnsi="Times New Roman" w:cs="Times New Roman"/>
        </w:rPr>
        <w:tab/>
      </w:r>
      <w:r w:rsidRPr="00D947D8">
        <w:rPr>
          <w:rFonts w:ascii="Times New Roman" w:hAnsi="Times New Roman" w:cs="Times New Roman"/>
        </w:rPr>
        <w:tab/>
        <w:t>Date</w:t>
      </w:r>
    </w:p>
    <w:p w:rsidR="002D6999" w:rsidRDefault="002D6999" w:rsidP="002D6999">
      <w:pPr>
        <w:rPr>
          <w:rFonts w:ascii="Times New Roman" w:hAnsi="Times New Roman" w:cs="Times New Roman"/>
        </w:rPr>
        <w:sectPr w:rsidR="002D6999" w:rsidSect="0050558E">
          <w:footerReference w:type="default" r:id="rId9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2D6999" w:rsidRDefault="002D6999" w:rsidP="002D69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6840"/>
      </w:tblGrid>
      <w:tr w:rsidR="002D6999" w:rsidTr="00FC1F31">
        <w:tc>
          <w:tcPr>
            <w:tcW w:w="7488" w:type="dxa"/>
          </w:tcPr>
          <w:p w:rsidR="002D6999" w:rsidRPr="00DA151E" w:rsidRDefault="002D6999" w:rsidP="00FC1F31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DA151E">
              <w:rPr>
                <w:b/>
                <w:bCs/>
                <w:sz w:val="28"/>
                <w:szCs w:val="28"/>
              </w:rPr>
              <w:t>University of Idaho EPR GUIDELINES</w:t>
            </w:r>
          </w:p>
          <w:p w:rsidR="002D6999" w:rsidRDefault="002D6999" w:rsidP="00FC1F31">
            <w:pPr>
              <w:spacing w:after="240"/>
            </w:pPr>
            <w:r>
              <w:t>(Refer to “Questions for Academic Self Study” for a more complete description of these categories.)</w:t>
            </w:r>
          </w:p>
        </w:tc>
        <w:tc>
          <w:tcPr>
            <w:tcW w:w="6840" w:type="dxa"/>
          </w:tcPr>
          <w:p w:rsidR="002D6999" w:rsidRPr="00DA151E" w:rsidRDefault="002D6999" w:rsidP="00FC1F31">
            <w:pPr>
              <w:spacing w:before="240" w:after="240"/>
              <w:rPr>
                <w:b/>
                <w:bCs/>
                <w:sz w:val="28"/>
                <w:szCs w:val="28"/>
              </w:rPr>
            </w:pPr>
            <w:r w:rsidRPr="00DA151E">
              <w:rPr>
                <w:b/>
                <w:bCs/>
                <w:sz w:val="28"/>
                <w:szCs w:val="28"/>
              </w:rPr>
              <w:t xml:space="preserve">Indicate location in </w:t>
            </w:r>
            <w:r>
              <w:rPr>
                <w:b/>
                <w:bCs/>
                <w:sz w:val="28"/>
                <w:szCs w:val="28"/>
              </w:rPr>
              <w:t xml:space="preserve">your </w:t>
            </w:r>
            <w:r w:rsidRPr="00DA151E">
              <w:rPr>
                <w:b/>
                <w:bCs/>
                <w:sz w:val="28"/>
                <w:szCs w:val="28"/>
              </w:rPr>
              <w:t>specialized accreditation</w:t>
            </w:r>
            <w:r>
              <w:rPr>
                <w:b/>
                <w:bCs/>
                <w:sz w:val="28"/>
                <w:szCs w:val="28"/>
              </w:rPr>
              <w:t xml:space="preserve"> guidelines</w:t>
            </w:r>
            <w:r w:rsidRPr="00DA151E">
              <w:rPr>
                <w:b/>
                <w:bCs/>
                <w:sz w:val="28"/>
                <w:szCs w:val="28"/>
              </w:rPr>
              <w:t xml:space="preserve"> for each item.</w:t>
            </w:r>
          </w:p>
        </w:tc>
      </w:tr>
      <w:tr w:rsidR="002D6999" w:rsidTr="00FC1F31">
        <w:tc>
          <w:tcPr>
            <w:tcW w:w="7488" w:type="dxa"/>
          </w:tcPr>
          <w:p w:rsidR="002D6999" w:rsidRDefault="002D6999" w:rsidP="002D6999">
            <w:pPr>
              <w:numPr>
                <w:ilvl w:val="0"/>
                <w:numId w:val="1"/>
              </w:numPr>
              <w:spacing w:after="120" w:line="240" w:lineRule="auto"/>
              <w:ind w:left="400" w:hanging="400"/>
              <w:rPr>
                <w:b/>
                <w:bCs/>
              </w:rPr>
            </w:pPr>
            <w:r>
              <w:rPr>
                <w:b/>
                <w:bCs/>
              </w:rPr>
              <w:t>Mission and Goals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Mission, goals, vision, objectives; fit with UI Strategic Plan; most important changes since last EPR</w:t>
            </w:r>
          </w:p>
          <w:p w:rsidR="002D6999" w:rsidRPr="001736C7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600" w:hanging="200"/>
              <w:rPr>
                <w:b/>
              </w:rPr>
            </w:pPr>
            <w:r>
              <w:t>Unique role in UI, state, region; factors impacting future demand; how to position program to respond to changes in demand</w:t>
            </w:r>
          </w:p>
        </w:tc>
        <w:tc>
          <w:tcPr>
            <w:tcW w:w="6840" w:type="dxa"/>
          </w:tcPr>
          <w:p w:rsidR="002D6999" w:rsidRDefault="002D6999" w:rsidP="00FC1F31">
            <w:pPr>
              <w:spacing w:after="120"/>
            </w:pPr>
          </w:p>
          <w:p w:rsidR="002D6999" w:rsidRDefault="002D6999" w:rsidP="00FC1F31">
            <w:pPr>
              <w:spacing w:after="120"/>
            </w:pPr>
            <w:r>
              <w:t>1.</w:t>
            </w:r>
          </w:p>
          <w:p w:rsidR="002D6999" w:rsidRDefault="002D6999" w:rsidP="00FC1F31">
            <w:pPr>
              <w:spacing w:after="120"/>
            </w:pPr>
            <w:r>
              <w:t>2.</w:t>
            </w:r>
          </w:p>
          <w:p w:rsidR="002D6999" w:rsidRDefault="002D6999" w:rsidP="00FC1F31">
            <w:pPr>
              <w:spacing w:after="120"/>
            </w:pPr>
          </w:p>
        </w:tc>
      </w:tr>
      <w:tr w:rsidR="002D6999" w:rsidTr="00FC1F31">
        <w:tc>
          <w:tcPr>
            <w:tcW w:w="7488" w:type="dxa"/>
          </w:tcPr>
          <w:p w:rsidR="002D6999" w:rsidRDefault="002D6999" w:rsidP="002D6999">
            <w:pPr>
              <w:numPr>
                <w:ilvl w:val="0"/>
                <w:numId w:val="1"/>
              </w:numPr>
              <w:spacing w:after="120" w:line="240" w:lineRule="auto"/>
              <w:ind w:left="400" w:hanging="400"/>
              <w:rPr>
                <w:b/>
                <w:bCs/>
              </w:rPr>
            </w:pPr>
            <w:r>
              <w:rPr>
                <w:b/>
                <w:bCs/>
              </w:rPr>
              <w:t>Teaching/Undergraduate Education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Description and evaluation of general education requirements relative to your program; plans for future changes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Analysis of curriculum changes; supporting evidence; plans for future; involvement of students in changes</w:t>
            </w:r>
          </w:p>
          <w:p w:rsidR="002D6999" w:rsidRPr="00172A3C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 w:rsidRPr="00172A3C">
              <w:t>Use of multidisciplinary courses; how you ensure quality; changes planned</w:t>
            </w:r>
          </w:p>
          <w:p w:rsidR="002D6999" w:rsidRPr="00172A3C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 w:rsidRPr="00172A3C">
              <w:t>Opportunities for experiential learning; planned changes</w:t>
            </w:r>
          </w:p>
          <w:p w:rsidR="002D6999" w:rsidRPr="00172A3C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 w:rsidRPr="00172A3C">
              <w:t>Opportunity for students to engage in und</w:t>
            </w:r>
            <w:r>
              <w:t>ergraduate research experiences, if applicable</w:t>
            </w:r>
          </w:p>
          <w:p w:rsidR="002D6999" w:rsidRPr="004A5CDB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 w:rsidRPr="00172A3C">
              <w:t>Engaging students in mentoring and academic advising; enhanced understanding of diverse and global community; planned changes</w:t>
            </w:r>
          </w:p>
          <w:p w:rsidR="002D6999" w:rsidRPr="00172A3C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600" w:hanging="200"/>
            </w:pPr>
            <w:r w:rsidRPr="004A5CDB">
              <w:t>Quality of undergraduate program; what distinguishes from others</w:t>
            </w:r>
          </w:p>
          <w:p w:rsidR="002D6999" w:rsidRDefault="002D6999" w:rsidP="00FC1F31">
            <w:pPr>
              <w:spacing w:after="0" w:line="240" w:lineRule="auto"/>
              <w:ind w:left="400"/>
            </w:pPr>
          </w:p>
        </w:tc>
        <w:tc>
          <w:tcPr>
            <w:tcW w:w="6840" w:type="dxa"/>
          </w:tcPr>
          <w:p w:rsidR="002D6999" w:rsidRDefault="002D6999" w:rsidP="00FC1F31">
            <w:pPr>
              <w:spacing w:after="120"/>
            </w:pPr>
          </w:p>
          <w:p w:rsidR="002D6999" w:rsidRDefault="002D6999" w:rsidP="00FC1F31">
            <w:pPr>
              <w:spacing w:after="120"/>
            </w:pPr>
            <w:r>
              <w:t>1.</w:t>
            </w:r>
          </w:p>
          <w:p w:rsidR="002D6999" w:rsidRDefault="002D6999" w:rsidP="00FC1F31">
            <w:pPr>
              <w:spacing w:before="120" w:after="0"/>
            </w:pPr>
          </w:p>
          <w:p w:rsidR="002D6999" w:rsidRDefault="002D6999" w:rsidP="00FC1F31">
            <w:pPr>
              <w:spacing w:after="240"/>
            </w:pPr>
            <w:r>
              <w:t>2.</w:t>
            </w:r>
          </w:p>
          <w:p w:rsidR="002D6999" w:rsidRDefault="002D6999" w:rsidP="00FC1F31">
            <w:pPr>
              <w:spacing w:after="120"/>
            </w:pPr>
            <w:r>
              <w:t>3.</w:t>
            </w:r>
          </w:p>
          <w:p w:rsidR="002D6999" w:rsidRDefault="002D6999" w:rsidP="00FC1F31">
            <w:pPr>
              <w:spacing w:after="120"/>
            </w:pPr>
            <w:r>
              <w:t>4.</w:t>
            </w:r>
          </w:p>
          <w:p w:rsidR="002D6999" w:rsidRDefault="002D6999" w:rsidP="00FC1F31">
            <w:pPr>
              <w:spacing w:after="0"/>
            </w:pPr>
            <w:r>
              <w:t>5.</w:t>
            </w:r>
          </w:p>
          <w:p w:rsidR="002D6999" w:rsidRDefault="002D6999" w:rsidP="00FC1F31">
            <w:pPr>
              <w:spacing w:after="0"/>
            </w:pPr>
          </w:p>
          <w:p w:rsidR="002D6999" w:rsidRDefault="002D6999" w:rsidP="00FC1F31">
            <w:pPr>
              <w:spacing w:after="120"/>
            </w:pPr>
            <w:r>
              <w:t>6.</w:t>
            </w:r>
          </w:p>
          <w:p w:rsidR="002D6999" w:rsidRDefault="002D6999" w:rsidP="00FC1F31">
            <w:pPr>
              <w:spacing w:after="0"/>
            </w:pPr>
            <w:r>
              <w:t>7.</w:t>
            </w:r>
          </w:p>
          <w:p w:rsidR="002D6999" w:rsidRDefault="002D6999" w:rsidP="00FC1F31">
            <w:pPr>
              <w:spacing w:after="120"/>
            </w:pPr>
          </w:p>
        </w:tc>
      </w:tr>
      <w:tr w:rsidR="002D6999" w:rsidTr="00FC1F31">
        <w:tc>
          <w:tcPr>
            <w:tcW w:w="7488" w:type="dxa"/>
          </w:tcPr>
          <w:p w:rsidR="002D6999" w:rsidRDefault="002D6999" w:rsidP="002D6999">
            <w:pPr>
              <w:numPr>
                <w:ilvl w:val="0"/>
                <w:numId w:val="1"/>
              </w:numPr>
              <w:spacing w:after="120" w:line="240" w:lineRule="auto"/>
              <w:ind w:left="400" w:hanging="400"/>
              <w:rPr>
                <w:b/>
                <w:bCs/>
              </w:rPr>
            </w:pPr>
            <w:r>
              <w:rPr>
                <w:b/>
                <w:bCs/>
              </w:rPr>
              <w:t>General Education Requirements</w:t>
            </w:r>
          </w:p>
          <w:p w:rsidR="002D6999" w:rsidRPr="00E658DE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 w:rsidRPr="00E658DE">
              <w:t>Contribution to UI General Education Requirements; integration of active learning</w:t>
            </w:r>
          </w:p>
          <w:p w:rsidR="002D6999" w:rsidRPr="00E658DE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 w:rsidRPr="00E658DE">
              <w:t>Contribution to General Education Curriculum</w:t>
            </w:r>
          </w:p>
          <w:p w:rsidR="002D6999" w:rsidRPr="00E658DE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 w:rsidRPr="00E658DE">
              <w:t>Quality of service courses; contribution to breadth of student knowledge</w:t>
            </w:r>
          </w:p>
          <w:p w:rsidR="002D6999" w:rsidRDefault="002D6999" w:rsidP="00FC1F31">
            <w:pPr>
              <w:spacing w:after="120" w:line="240" w:lineRule="auto"/>
              <w:ind w:left="400"/>
            </w:pPr>
          </w:p>
        </w:tc>
        <w:tc>
          <w:tcPr>
            <w:tcW w:w="6840" w:type="dxa"/>
          </w:tcPr>
          <w:p w:rsidR="002D6999" w:rsidRDefault="002D6999" w:rsidP="00FC1F31">
            <w:pPr>
              <w:spacing w:after="120"/>
            </w:pPr>
          </w:p>
          <w:p w:rsidR="002D6999" w:rsidRDefault="002D6999" w:rsidP="00FC1F31">
            <w:pPr>
              <w:spacing w:after="240"/>
            </w:pPr>
            <w:r>
              <w:t>1.</w:t>
            </w:r>
          </w:p>
          <w:p w:rsidR="002D6999" w:rsidRDefault="002D6999" w:rsidP="00FC1F31">
            <w:pPr>
              <w:spacing w:after="120"/>
            </w:pPr>
            <w:r>
              <w:t>2.</w:t>
            </w:r>
          </w:p>
          <w:p w:rsidR="002D6999" w:rsidRDefault="002D6999" w:rsidP="00FC1F31">
            <w:pPr>
              <w:spacing w:after="0"/>
            </w:pPr>
            <w:r>
              <w:t>3.</w:t>
            </w:r>
          </w:p>
        </w:tc>
      </w:tr>
      <w:tr w:rsidR="002D6999" w:rsidTr="00FC1F31">
        <w:tc>
          <w:tcPr>
            <w:tcW w:w="7488" w:type="dxa"/>
          </w:tcPr>
          <w:p w:rsidR="002D6999" w:rsidRDefault="002D6999" w:rsidP="002D6999">
            <w:pPr>
              <w:numPr>
                <w:ilvl w:val="0"/>
                <w:numId w:val="1"/>
              </w:numPr>
              <w:spacing w:after="0" w:line="240" w:lineRule="auto"/>
              <w:ind w:left="400" w:hanging="4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Graduate Education and Research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Curriculum changes; evidence; role of students; planned changes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Review of joint and cross listed courses; planned changes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 xml:space="preserve">Research initiatives and partnerships which align with UI strategic research themes; plans for future 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Competition for external funding; enhanced faculty competitiveness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Grants to support interdisciplinary activities; plans to expand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Integration of grad programs with scholarly/creative activities of faculty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Overall quality of graduate program; distinction from others; planned improvements</w:t>
            </w:r>
          </w:p>
        </w:tc>
        <w:tc>
          <w:tcPr>
            <w:tcW w:w="6840" w:type="dxa"/>
          </w:tcPr>
          <w:p w:rsidR="002D6999" w:rsidRDefault="002D6999" w:rsidP="00FC1F31">
            <w:pPr>
              <w:spacing w:before="240" w:after="120"/>
            </w:pPr>
            <w:r>
              <w:t>1.</w:t>
            </w:r>
          </w:p>
          <w:p w:rsidR="002D6999" w:rsidRDefault="002D6999" w:rsidP="00FC1F31">
            <w:pPr>
              <w:spacing w:after="120"/>
            </w:pPr>
            <w:r>
              <w:t>2.</w:t>
            </w:r>
          </w:p>
          <w:p w:rsidR="002D6999" w:rsidRDefault="002D6999" w:rsidP="00FC1F31">
            <w:pPr>
              <w:spacing w:after="0"/>
            </w:pPr>
            <w:r>
              <w:t>3.</w:t>
            </w:r>
          </w:p>
          <w:p w:rsidR="002D6999" w:rsidRDefault="002D6999" w:rsidP="00FC1F31">
            <w:pPr>
              <w:spacing w:after="120"/>
            </w:pPr>
            <w:r>
              <w:t>4.</w:t>
            </w:r>
          </w:p>
          <w:p w:rsidR="002D6999" w:rsidRDefault="002D6999" w:rsidP="00FC1F31">
            <w:pPr>
              <w:spacing w:after="120"/>
            </w:pPr>
            <w:r>
              <w:t>5.</w:t>
            </w:r>
          </w:p>
          <w:p w:rsidR="002D6999" w:rsidRDefault="002D6999" w:rsidP="00FC1F31">
            <w:pPr>
              <w:spacing w:after="120"/>
            </w:pPr>
            <w:r>
              <w:t>6.</w:t>
            </w:r>
          </w:p>
          <w:p w:rsidR="002D6999" w:rsidRDefault="002D6999" w:rsidP="00FC1F31">
            <w:pPr>
              <w:spacing w:after="120"/>
            </w:pPr>
            <w:r>
              <w:t>7.</w:t>
            </w:r>
          </w:p>
        </w:tc>
      </w:tr>
      <w:tr w:rsidR="002D6999" w:rsidTr="00FC1F31">
        <w:tc>
          <w:tcPr>
            <w:tcW w:w="7488" w:type="dxa"/>
          </w:tcPr>
          <w:p w:rsidR="002D6999" w:rsidRDefault="002D6999" w:rsidP="002D6999">
            <w:pPr>
              <w:numPr>
                <w:ilvl w:val="0"/>
                <w:numId w:val="1"/>
              </w:numPr>
              <w:spacing w:after="120" w:line="240" w:lineRule="auto"/>
              <w:ind w:left="400" w:hanging="400"/>
              <w:rPr>
                <w:b/>
                <w:bCs/>
              </w:rPr>
            </w:pPr>
            <w:r>
              <w:rPr>
                <w:b/>
                <w:bCs/>
              </w:rPr>
              <w:t>Outreach, Extension and Engagement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Outreach, extension, and engagement activities of faculty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Outreach and service learning activities of students, if applicable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Outreach scholarship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Outcomes of outreach and impacts on stakeholders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How is your program distinguished from others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Changes in last several years and reasons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Plans for strengthening and expanding outreach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Evaluation and reward for outreach</w:t>
            </w:r>
          </w:p>
        </w:tc>
        <w:tc>
          <w:tcPr>
            <w:tcW w:w="6840" w:type="dxa"/>
          </w:tcPr>
          <w:p w:rsidR="002D6999" w:rsidRDefault="002D6999" w:rsidP="00FC1F31">
            <w:pPr>
              <w:spacing w:after="0"/>
            </w:pPr>
          </w:p>
          <w:p w:rsidR="002D6999" w:rsidRDefault="002D6999" w:rsidP="00FC1F31">
            <w:pPr>
              <w:spacing w:after="120"/>
            </w:pPr>
            <w:r>
              <w:t>1.</w:t>
            </w:r>
          </w:p>
          <w:p w:rsidR="002D6999" w:rsidRDefault="002D6999" w:rsidP="00FC1F31">
            <w:pPr>
              <w:spacing w:after="120"/>
            </w:pPr>
            <w:r>
              <w:t>2.</w:t>
            </w:r>
          </w:p>
          <w:p w:rsidR="002D6999" w:rsidRDefault="002D6999" w:rsidP="00FC1F31">
            <w:pPr>
              <w:spacing w:after="120"/>
            </w:pPr>
            <w:r>
              <w:t>3.</w:t>
            </w:r>
          </w:p>
          <w:p w:rsidR="002D6999" w:rsidRDefault="002D6999" w:rsidP="00FC1F31">
            <w:pPr>
              <w:spacing w:after="0"/>
            </w:pPr>
            <w:r>
              <w:t>4.</w:t>
            </w:r>
          </w:p>
          <w:p w:rsidR="002D6999" w:rsidRDefault="002D6999" w:rsidP="00FC1F31">
            <w:pPr>
              <w:spacing w:after="0"/>
            </w:pPr>
            <w:r>
              <w:t>5.</w:t>
            </w:r>
          </w:p>
          <w:p w:rsidR="002D6999" w:rsidRDefault="002D6999" w:rsidP="00FC1F31">
            <w:pPr>
              <w:spacing w:after="120"/>
            </w:pPr>
            <w:r>
              <w:t>6.</w:t>
            </w:r>
          </w:p>
          <w:p w:rsidR="002D6999" w:rsidRDefault="002D6999" w:rsidP="00FC1F31">
            <w:pPr>
              <w:spacing w:after="120"/>
            </w:pPr>
            <w:r>
              <w:t>7.</w:t>
            </w:r>
          </w:p>
        </w:tc>
      </w:tr>
      <w:tr w:rsidR="002D6999" w:rsidTr="00FC1F31">
        <w:tc>
          <w:tcPr>
            <w:tcW w:w="7488" w:type="dxa"/>
          </w:tcPr>
          <w:p w:rsidR="002D6999" w:rsidRDefault="002D6999" w:rsidP="002D6999">
            <w:pPr>
              <w:numPr>
                <w:ilvl w:val="0"/>
                <w:numId w:val="1"/>
              </w:numPr>
              <w:spacing w:after="120" w:line="240" w:lineRule="auto"/>
              <w:ind w:left="400" w:hanging="400"/>
              <w:rPr>
                <w:b/>
                <w:bCs/>
              </w:rPr>
            </w:pPr>
            <w:r>
              <w:rPr>
                <w:b/>
                <w:bCs/>
              </w:rPr>
              <w:t>Enrollment Management—Recruitment and Retention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Demand for your program; market trends and indicators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Recruitment geography; marketing efforts; Articulation Agreements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Analyze trends in applicants; improvement plans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Analyze retention; advising efforts; efforts with at-risk students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Role of Summer Programs and Concurrent Enrollment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Funding sources for students (UG and Grad); criteria/application process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Capacity and comparison to demand; assets and barriers</w:t>
            </w:r>
          </w:p>
        </w:tc>
        <w:tc>
          <w:tcPr>
            <w:tcW w:w="6840" w:type="dxa"/>
          </w:tcPr>
          <w:p w:rsidR="002D6999" w:rsidRDefault="002D6999" w:rsidP="00FC1F31">
            <w:pPr>
              <w:spacing w:after="0"/>
            </w:pPr>
          </w:p>
          <w:p w:rsidR="002D6999" w:rsidRDefault="002D6999" w:rsidP="00FC1F31">
            <w:pPr>
              <w:spacing w:after="120"/>
            </w:pPr>
            <w:r>
              <w:t>1.</w:t>
            </w:r>
          </w:p>
          <w:p w:rsidR="002D6999" w:rsidRDefault="002D6999" w:rsidP="00FC1F31">
            <w:pPr>
              <w:spacing w:after="120"/>
            </w:pPr>
            <w:r>
              <w:t>2.</w:t>
            </w:r>
          </w:p>
          <w:p w:rsidR="002D6999" w:rsidRDefault="002D6999" w:rsidP="00FC1F31">
            <w:pPr>
              <w:spacing w:after="120"/>
            </w:pPr>
            <w:r>
              <w:t>3.</w:t>
            </w:r>
          </w:p>
          <w:p w:rsidR="002D6999" w:rsidRDefault="002D6999" w:rsidP="00FC1F31">
            <w:pPr>
              <w:spacing w:after="0"/>
            </w:pPr>
            <w:r>
              <w:t>4.</w:t>
            </w:r>
          </w:p>
          <w:p w:rsidR="002D6999" w:rsidRDefault="002D6999" w:rsidP="00FC1F31">
            <w:pPr>
              <w:spacing w:after="120"/>
            </w:pPr>
            <w:r>
              <w:t>5.</w:t>
            </w:r>
          </w:p>
          <w:p w:rsidR="002D6999" w:rsidRDefault="002D6999" w:rsidP="00FC1F31">
            <w:pPr>
              <w:spacing w:after="120"/>
            </w:pPr>
            <w:r>
              <w:t>6.</w:t>
            </w:r>
          </w:p>
          <w:p w:rsidR="002D6999" w:rsidRDefault="002D6999" w:rsidP="00FC1F31">
            <w:pPr>
              <w:spacing w:after="0"/>
            </w:pPr>
            <w:r>
              <w:t>7.</w:t>
            </w:r>
          </w:p>
          <w:p w:rsidR="002D6999" w:rsidRDefault="002D6999" w:rsidP="00FC1F31">
            <w:pPr>
              <w:spacing w:after="0"/>
            </w:pPr>
          </w:p>
        </w:tc>
      </w:tr>
      <w:tr w:rsidR="002D6999" w:rsidTr="00FC1F31">
        <w:tc>
          <w:tcPr>
            <w:tcW w:w="7488" w:type="dxa"/>
          </w:tcPr>
          <w:p w:rsidR="002D6999" w:rsidRDefault="002D6999" w:rsidP="002D6999">
            <w:pPr>
              <w:numPr>
                <w:ilvl w:val="0"/>
                <w:numId w:val="1"/>
              </w:numPr>
              <w:spacing w:after="120" w:line="240" w:lineRule="auto"/>
              <w:ind w:left="400" w:hanging="4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Assessment</w:t>
            </w:r>
          </w:p>
          <w:p w:rsidR="002D6999" w:rsidRPr="00866538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Effectiveness</w:t>
            </w:r>
            <w:r w:rsidRPr="00866538">
              <w:t xml:space="preserve"> of assessment plan</w:t>
            </w:r>
            <w:r>
              <w:t xml:space="preserve"> for student learning outcomes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Use of assessment information to improve learning; modifications</w:t>
            </w:r>
          </w:p>
        </w:tc>
        <w:tc>
          <w:tcPr>
            <w:tcW w:w="6840" w:type="dxa"/>
          </w:tcPr>
          <w:p w:rsidR="002D6999" w:rsidRDefault="002D6999" w:rsidP="00FC1F31">
            <w:pPr>
              <w:spacing w:after="0"/>
            </w:pPr>
          </w:p>
          <w:p w:rsidR="002D6999" w:rsidRPr="00866538" w:rsidRDefault="002D6999" w:rsidP="00FC1F31">
            <w:pPr>
              <w:spacing w:after="120"/>
            </w:pPr>
            <w:r w:rsidRPr="00866538">
              <w:t>1.</w:t>
            </w:r>
          </w:p>
          <w:p w:rsidR="002D6999" w:rsidRDefault="002D6999" w:rsidP="00FC1F31">
            <w:pPr>
              <w:spacing w:after="120"/>
            </w:pPr>
            <w:r>
              <w:t>2.</w:t>
            </w:r>
          </w:p>
        </w:tc>
      </w:tr>
      <w:tr w:rsidR="002D6999" w:rsidTr="00FC1F31">
        <w:tc>
          <w:tcPr>
            <w:tcW w:w="7488" w:type="dxa"/>
          </w:tcPr>
          <w:p w:rsidR="002D6999" w:rsidRDefault="002D6999" w:rsidP="002D6999">
            <w:pPr>
              <w:numPr>
                <w:ilvl w:val="0"/>
                <w:numId w:val="1"/>
              </w:numPr>
              <w:spacing w:after="120" w:line="240" w:lineRule="auto"/>
              <w:ind w:left="500" w:hanging="500"/>
              <w:rPr>
                <w:b/>
                <w:bCs/>
              </w:rPr>
            </w:pPr>
            <w:r>
              <w:rPr>
                <w:b/>
                <w:bCs/>
              </w:rPr>
              <w:t>Personnel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Productivity and quality of faculty and staff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Faculty and staff resources; efforts toward competitiveness; changes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Policies and procedures; effects; interdisciplinary scholarship; safety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Procedures to improve diversity; planned changes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Work climate; barriers to desired climate</w:t>
            </w:r>
          </w:p>
        </w:tc>
        <w:tc>
          <w:tcPr>
            <w:tcW w:w="6840" w:type="dxa"/>
          </w:tcPr>
          <w:p w:rsidR="002D6999" w:rsidRDefault="002D6999" w:rsidP="00FC1F31">
            <w:pPr>
              <w:spacing w:after="0"/>
            </w:pPr>
          </w:p>
          <w:p w:rsidR="002D6999" w:rsidRDefault="002D6999" w:rsidP="00FC1F31">
            <w:pPr>
              <w:spacing w:after="120"/>
            </w:pPr>
            <w:r>
              <w:t>1.</w:t>
            </w:r>
          </w:p>
          <w:p w:rsidR="002D6999" w:rsidRDefault="002D6999" w:rsidP="00FC1F31">
            <w:pPr>
              <w:spacing w:after="120"/>
            </w:pPr>
            <w:r>
              <w:t>2.</w:t>
            </w:r>
          </w:p>
          <w:p w:rsidR="002D6999" w:rsidRDefault="002D6999" w:rsidP="00FC1F31">
            <w:pPr>
              <w:spacing w:after="120"/>
            </w:pPr>
            <w:r>
              <w:t>3.</w:t>
            </w:r>
          </w:p>
          <w:p w:rsidR="002D6999" w:rsidRDefault="002D6999" w:rsidP="00FC1F31">
            <w:pPr>
              <w:spacing w:after="120"/>
            </w:pPr>
            <w:r>
              <w:t>4.</w:t>
            </w:r>
          </w:p>
          <w:p w:rsidR="002D6999" w:rsidRDefault="002D6999" w:rsidP="00FC1F31">
            <w:pPr>
              <w:spacing w:after="120"/>
            </w:pPr>
            <w:r>
              <w:t>5.</w:t>
            </w:r>
          </w:p>
        </w:tc>
      </w:tr>
      <w:tr w:rsidR="002D6999" w:rsidTr="00FC1F31">
        <w:tc>
          <w:tcPr>
            <w:tcW w:w="7488" w:type="dxa"/>
          </w:tcPr>
          <w:p w:rsidR="002D6999" w:rsidRDefault="002D6999" w:rsidP="002D6999">
            <w:pPr>
              <w:numPr>
                <w:ilvl w:val="0"/>
                <w:numId w:val="1"/>
              </w:numPr>
              <w:spacing w:after="120" w:line="240" w:lineRule="auto"/>
              <w:ind w:left="500" w:hanging="500"/>
              <w:rPr>
                <w:b/>
                <w:bCs/>
              </w:rPr>
            </w:pPr>
            <w:r>
              <w:rPr>
                <w:b/>
                <w:bCs/>
              </w:rPr>
              <w:t>Finances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5" w:hanging="202"/>
            </w:pPr>
            <w:r>
              <w:t>Sources and amounts of budget; priorities for meeting future needs</w:t>
            </w:r>
          </w:p>
          <w:p w:rsidR="002D6999" w:rsidRDefault="002D6999" w:rsidP="002D6999">
            <w:pPr>
              <w:numPr>
                <w:ilvl w:val="1"/>
                <w:numId w:val="1"/>
              </w:numPr>
              <w:tabs>
                <w:tab w:val="clear" w:pos="1440"/>
              </w:tabs>
              <w:spacing w:after="120" w:line="240" w:lineRule="auto"/>
              <w:ind w:left="600" w:hanging="200"/>
            </w:pPr>
            <w:r>
              <w:t>Plans for resource enhancement</w:t>
            </w:r>
          </w:p>
        </w:tc>
        <w:tc>
          <w:tcPr>
            <w:tcW w:w="6840" w:type="dxa"/>
          </w:tcPr>
          <w:p w:rsidR="002D6999" w:rsidRDefault="002D6999" w:rsidP="00FC1F31">
            <w:pPr>
              <w:spacing w:after="0"/>
            </w:pPr>
          </w:p>
          <w:p w:rsidR="002D6999" w:rsidRDefault="002D6999" w:rsidP="00FC1F31">
            <w:pPr>
              <w:spacing w:after="120"/>
            </w:pPr>
            <w:r>
              <w:t>1.</w:t>
            </w:r>
          </w:p>
          <w:p w:rsidR="002D6999" w:rsidRDefault="002D6999" w:rsidP="00FC1F31">
            <w:pPr>
              <w:spacing w:after="120"/>
            </w:pPr>
            <w:r>
              <w:t>2.</w:t>
            </w:r>
          </w:p>
        </w:tc>
      </w:tr>
      <w:tr w:rsidR="002D6999" w:rsidTr="00FC1F31">
        <w:tc>
          <w:tcPr>
            <w:tcW w:w="7488" w:type="dxa"/>
          </w:tcPr>
          <w:p w:rsidR="002D6999" w:rsidRDefault="002D6999" w:rsidP="002D6999">
            <w:pPr>
              <w:numPr>
                <w:ilvl w:val="0"/>
                <w:numId w:val="2"/>
              </w:num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Facilities and Equipment </w:t>
            </w:r>
          </w:p>
          <w:p w:rsidR="002D6999" w:rsidRDefault="002D6999" w:rsidP="002D6999">
            <w:pPr>
              <w:numPr>
                <w:ilvl w:val="0"/>
                <w:numId w:val="3"/>
              </w:numPr>
              <w:spacing w:after="120" w:line="240" w:lineRule="auto"/>
              <w:ind w:left="605" w:hanging="202"/>
            </w:pPr>
            <w:r>
              <w:t>Space, facilities, technology and equipment; safety and security</w:t>
            </w:r>
          </w:p>
          <w:p w:rsidR="002D6999" w:rsidRDefault="002D6999" w:rsidP="002D6999">
            <w:pPr>
              <w:numPr>
                <w:ilvl w:val="0"/>
                <w:numId w:val="3"/>
              </w:numPr>
              <w:spacing w:after="120" w:line="240" w:lineRule="auto"/>
              <w:ind w:left="605" w:hanging="202"/>
            </w:pPr>
            <w:r>
              <w:t>Changes needed to improve quality and productivity</w:t>
            </w:r>
          </w:p>
        </w:tc>
        <w:tc>
          <w:tcPr>
            <w:tcW w:w="6840" w:type="dxa"/>
          </w:tcPr>
          <w:p w:rsidR="002D6999" w:rsidRDefault="002D6999" w:rsidP="00FC1F31">
            <w:pPr>
              <w:spacing w:after="0"/>
            </w:pPr>
          </w:p>
          <w:p w:rsidR="002D6999" w:rsidRDefault="002D6999" w:rsidP="00FC1F31">
            <w:r>
              <w:t>1.</w:t>
            </w:r>
          </w:p>
          <w:p w:rsidR="002D6999" w:rsidRDefault="002D6999" w:rsidP="00FC1F31">
            <w:pPr>
              <w:spacing w:after="0"/>
            </w:pPr>
            <w:r>
              <w:t>2.</w:t>
            </w:r>
          </w:p>
        </w:tc>
      </w:tr>
      <w:tr w:rsidR="002D6999" w:rsidTr="00FC1F31">
        <w:tc>
          <w:tcPr>
            <w:tcW w:w="7488" w:type="dxa"/>
          </w:tcPr>
          <w:p w:rsidR="002D6999" w:rsidRDefault="002D6999" w:rsidP="002D6999">
            <w:pPr>
              <w:numPr>
                <w:ilvl w:val="0"/>
                <w:numId w:val="2"/>
              </w:numPr>
              <w:spacing w:after="0" w:line="240" w:lineRule="auto"/>
              <w:ind w:left="400" w:hanging="400"/>
              <w:rPr>
                <w:b/>
                <w:bCs/>
              </w:rPr>
            </w:pPr>
            <w:r>
              <w:rPr>
                <w:b/>
                <w:bCs/>
              </w:rPr>
              <w:t>Innovation and Distinction</w:t>
            </w:r>
          </w:p>
          <w:p w:rsidR="002D6999" w:rsidRDefault="002D6999" w:rsidP="002D6999">
            <w:pPr>
              <w:numPr>
                <w:ilvl w:val="1"/>
                <w:numId w:val="2"/>
              </w:numPr>
              <w:spacing w:after="0" w:line="240" w:lineRule="auto"/>
              <w:ind w:left="605" w:hanging="202"/>
            </w:pPr>
            <w:r w:rsidRPr="00866538">
              <w:rPr>
                <w:bCs/>
              </w:rPr>
              <w:t>Differentiation from peers;</w:t>
            </w:r>
            <w:r>
              <w:rPr>
                <w:bCs/>
              </w:rPr>
              <w:t xml:space="preserve"> trends and innovative changes to adapt</w:t>
            </w:r>
          </w:p>
        </w:tc>
        <w:tc>
          <w:tcPr>
            <w:tcW w:w="6840" w:type="dxa"/>
          </w:tcPr>
          <w:p w:rsidR="002D6999" w:rsidRDefault="002D6999" w:rsidP="00FC1F31">
            <w:pPr>
              <w:spacing w:after="0"/>
            </w:pPr>
          </w:p>
          <w:p w:rsidR="002D6999" w:rsidRDefault="002D6999" w:rsidP="00FC1F31">
            <w:pPr>
              <w:spacing w:after="0"/>
            </w:pPr>
            <w:r>
              <w:t>1.</w:t>
            </w:r>
          </w:p>
        </w:tc>
      </w:tr>
      <w:tr w:rsidR="002D6999" w:rsidTr="00FC1F31">
        <w:tc>
          <w:tcPr>
            <w:tcW w:w="7488" w:type="dxa"/>
          </w:tcPr>
          <w:p w:rsidR="002D6999" w:rsidRDefault="002D6999" w:rsidP="002D6999">
            <w:pPr>
              <w:numPr>
                <w:ilvl w:val="0"/>
                <w:numId w:val="2"/>
              </w:numPr>
              <w:spacing w:after="0" w:line="240" w:lineRule="auto"/>
              <w:ind w:left="400" w:hanging="400"/>
              <w:rPr>
                <w:b/>
                <w:bCs/>
              </w:rPr>
            </w:pPr>
            <w:r>
              <w:rPr>
                <w:b/>
                <w:bCs/>
              </w:rPr>
              <w:t>Closing the Loop</w:t>
            </w:r>
          </w:p>
          <w:p w:rsidR="002D6999" w:rsidRPr="00ED1760" w:rsidRDefault="002D6999" w:rsidP="002D6999">
            <w:pPr>
              <w:numPr>
                <w:ilvl w:val="1"/>
                <w:numId w:val="2"/>
              </w:numPr>
              <w:spacing w:after="0" w:line="240" w:lineRule="auto"/>
              <w:ind w:left="605" w:hanging="202"/>
              <w:rPr>
                <w:bCs/>
              </w:rPr>
            </w:pPr>
            <w:r>
              <w:rPr>
                <w:bCs/>
              </w:rPr>
              <w:t>Summarize how you are meeting goals; new goals, objectives, action strategies which have been or should be developed</w:t>
            </w:r>
          </w:p>
          <w:p w:rsidR="002D6999" w:rsidRDefault="002D6999" w:rsidP="00FC1F31">
            <w:pPr>
              <w:spacing w:after="0" w:line="240" w:lineRule="auto"/>
              <w:ind w:left="400"/>
              <w:rPr>
                <w:b/>
                <w:bCs/>
              </w:rPr>
            </w:pPr>
          </w:p>
        </w:tc>
        <w:tc>
          <w:tcPr>
            <w:tcW w:w="6840" w:type="dxa"/>
          </w:tcPr>
          <w:p w:rsidR="002D6999" w:rsidRDefault="002D6999" w:rsidP="00FC1F31">
            <w:pPr>
              <w:spacing w:after="0"/>
            </w:pPr>
          </w:p>
          <w:p w:rsidR="002D6999" w:rsidRDefault="002D6999" w:rsidP="00FC1F31">
            <w:pPr>
              <w:spacing w:after="0"/>
            </w:pPr>
            <w:r>
              <w:t>1.</w:t>
            </w:r>
          </w:p>
        </w:tc>
      </w:tr>
    </w:tbl>
    <w:p w:rsidR="002D6999" w:rsidRPr="002B2C04" w:rsidRDefault="002D6999" w:rsidP="002D6999">
      <w:pPr>
        <w:rPr>
          <w:sz w:val="16"/>
          <w:szCs w:val="16"/>
        </w:rPr>
      </w:pPr>
    </w:p>
    <w:p w:rsidR="00D90DF4" w:rsidRPr="002B2C04" w:rsidRDefault="00D90DF4" w:rsidP="00677E63">
      <w:pPr>
        <w:widowControl w:val="0"/>
        <w:rPr>
          <w:sz w:val="16"/>
          <w:szCs w:val="16"/>
        </w:rPr>
      </w:pPr>
    </w:p>
    <w:sectPr w:rsidR="00D90DF4" w:rsidRPr="002B2C04" w:rsidSect="00682D1C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5F" w:rsidRDefault="003E2127">
      <w:pPr>
        <w:spacing w:after="0" w:line="240" w:lineRule="auto"/>
      </w:pPr>
      <w:r>
        <w:separator/>
      </w:r>
    </w:p>
  </w:endnote>
  <w:endnote w:type="continuationSeparator" w:id="0">
    <w:p w:rsidR="00573D5F" w:rsidRDefault="003E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6F" w:rsidRDefault="00454130">
    <w:pPr>
      <w:pStyle w:val="Footer"/>
    </w:pPr>
    <w:r>
      <w:t>S:\Sara\EPR\EPR w Spec Accred</w:t>
    </w:r>
  </w:p>
  <w:p w:rsidR="008E436F" w:rsidRDefault="00130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5F" w:rsidRDefault="003E2127">
      <w:pPr>
        <w:spacing w:after="0" w:line="240" w:lineRule="auto"/>
      </w:pPr>
      <w:r>
        <w:separator/>
      </w:r>
    </w:p>
  </w:footnote>
  <w:footnote w:type="continuationSeparator" w:id="0">
    <w:p w:rsidR="00573D5F" w:rsidRDefault="003E2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91FB8"/>
    <w:multiLevelType w:val="hybridMultilevel"/>
    <w:tmpl w:val="47224950"/>
    <w:lvl w:ilvl="0" w:tplc="56E28826">
      <w:start w:val="10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hint="default"/>
      </w:rPr>
    </w:lvl>
    <w:lvl w:ilvl="1" w:tplc="F28EDBA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BCD60198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34A4D20"/>
    <w:multiLevelType w:val="hybridMultilevel"/>
    <w:tmpl w:val="1F3A4F56"/>
    <w:lvl w:ilvl="0" w:tplc="C9DEE17A">
      <w:start w:val="1"/>
      <w:numFmt w:val="decimal"/>
      <w:lvlText w:val="%1."/>
      <w:lvlJc w:val="left"/>
      <w:pPr>
        <w:tabs>
          <w:tab w:val="num" w:pos="1008"/>
        </w:tabs>
        <w:ind w:left="576" w:hanging="288"/>
      </w:pPr>
      <w:rPr>
        <w:rFonts w:hint="default"/>
        <w:b w:val="0"/>
        <w:color w:val="auto"/>
      </w:rPr>
    </w:lvl>
    <w:lvl w:ilvl="1" w:tplc="F28EDBA2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  <w:rPr>
        <w:rFonts w:hint="default"/>
        <w:b w:val="0"/>
      </w:rPr>
    </w:lvl>
    <w:lvl w:ilvl="2" w:tplc="BCD60198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" w15:restartNumberingAfterBreak="0">
    <w:nsid w:val="78982F78"/>
    <w:multiLevelType w:val="hybridMultilevel"/>
    <w:tmpl w:val="B3B82AF8"/>
    <w:lvl w:ilvl="0" w:tplc="20A25A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9DEE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99"/>
    <w:rsid w:val="001304DE"/>
    <w:rsid w:val="00152B0E"/>
    <w:rsid w:val="00171878"/>
    <w:rsid w:val="002B2C04"/>
    <w:rsid w:val="002D6999"/>
    <w:rsid w:val="003E2127"/>
    <w:rsid w:val="00454130"/>
    <w:rsid w:val="00573D5F"/>
    <w:rsid w:val="00587C93"/>
    <w:rsid w:val="00587F25"/>
    <w:rsid w:val="00677E63"/>
    <w:rsid w:val="00C52F87"/>
    <w:rsid w:val="00D90DF4"/>
    <w:rsid w:val="00E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313F84-4D93-4413-8504-29612DD0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99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99"/>
  </w:style>
  <w:style w:type="table" w:styleId="TableGrid">
    <w:name w:val="Table Grid"/>
    <w:basedOn w:val="TableNormal"/>
    <w:uiPriority w:val="59"/>
    <w:rsid w:val="002D6999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pietrzak@uidah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@uidah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Mahuron, Sara (sara@uidaho.edu)</dc:creator>
  <cp:keywords/>
  <dc:description/>
  <cp:lastModifiedBy>jjones</cp:lastModifiedBy>
  <cp:revision>7</cp:revision>
  <cp:lastPrinted>2016-11-02T23:20:00Z</cp:lastPrinted>
  <dcterms:created xsi:type="dcterms:W3CDTF">2018-03-23T18:47:00Z</dcterms:created>
  <dcterms:modified xsi:type="dcterms:W3CDTF">2018-03-23T21:09:00Z</dcterms:modified>
</cp:coreProperties>
</file>